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1DB447C6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EA3A47">
        <w:rPr>
          <w:sz w:val="26"/>
          <w:szCs w:val="26"/>
        </w:rPr>
        <w:t xml:space="preserve">February </w:t>
      </w:r>
      <w:r w:rsidR="008B28B4">
        <w:rPr>
          <w:sz w:val="26"/>
          <w:szCs w:val="26"/>
        </w:rPr>
        <w:t>25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0D5277">
        <w:trPr>
          <w:trHeight w:val="533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15CEAF5B" w:rsidR="00EB5264" w:rsidRPr="00045025" w:rsidRDefault="00213A68" w:rsidP="00CA2171">
            <w:pPr>
              <w:ind w:left="166"/>
            </w:pPr>
            <w:r>
              <w:t>March 25</w:t>
            </w:r>
            <w:r w:rsidR="007A35B3">
              <w:t xml:space="preserve"> -</w:t>
            </w:r>
            <w:r>
              <w:t xml:space="preserve"> </w:t>
            </w:r>
            <w:r w:rsidR="00312147">
              <w:t xml:space="preserve">ISP </w:t>
            </w:r>
            <w:r>
              <w:t xml:space="preserve">meeting </w:t>
            </w:r>
            <w:r w:rsidR="00312147">
              <w:t xml:space="preserve">cancelled </w:t>
            </w:r>
            <w:r>
              <w:t>due to spring break</w:t>
            </w:r>
            <w:r w:rsidR="007A35B3">
              <w:t>.</w:t>
            </w:r>
          </w:p>
        </w:tc>
      </w:tr>
      <w:tr w:rsidR="009111AA" w14:paraId="5BAB57EE" w14:textId="77777777" w:rsidTr="00281C75">
        <w:trPr>
          <w:trHeight w:val="739"/>
        </w:trPr>
        <w:tc>
          <w:tcPr>
            <w:tcW w:w="1122" w:type="pct"/>
            <w:gridSpan w:val="3"/>
          </w:tcPr>
          <w:p w14:paraId="4EA7FB30" w14:textId="3C87A7C7" w:rsidR="009111AA" w:rsidRPr="009111AA" w:rsidRDefault="009111AA" w:rsidP="009111AA">
            <w:pPr>
              <w:ind w:left="161"/>
              <w:rPr>
                <w:b/>
              </w:rPr>
            </w:pPr>
            <w:r w:rsidRPr="009111AA">
              <w:rPr>
                <w:b/>
              </w:rPr>
              <w:t>College 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2A13179B" w:rsidR="009111AA" w:rsidRDefault="00126926" w:rsidP="009111AA">
            <w:r>
              <w:t>1 min</w:t>
            </w:r>
          </w:p>
        </w:tc>
        <w:tc>
          <w:tcPr>
            <w:tcW w:w="2725" w:type="pct"/>
            <w:gridSpan w:val="3"/>
          </w:tcPr>
          <w:p w14:paraId="63F31C06" w14:textId="62B457C0" w:rsidR="009111AA" w:rsidRDefault="00233A22" w:rsidP="009111AA">
            <w:pPr>
              <w:ind w:left="166"/>
              <w:rPr>
                <w:color w:val="212121"/>
              </w:rPr>
            </w:pPr>
            <w:r w:rsidRPr="00233A22">
              <w:rPr>
                <w:color w:val="212121"/>
              </w:rPr>
              <w:t xml:space="preserve">ISP 471 &amp; ISP </w:t>
            </w:r>
            <w:proofErr w:type="spellStart"/>
            <w:r w:rsidRPr="00233A22">
              <w:rPr>
                <w:color w:val="212121"/>
              </w:rPr>
              <w:t>471A</w:t>
            </w:r>
            <w:proofErr w:type="spellEnd"/>
            <w:r w:rsidRPr="00233A22">
              <w:rPr>
                <w:color w:val="212121"/>
              </w:rPr>
              <w:t xml:space="preserve"> Courses Repeated for Additional Credit</w:t>
            </w:r>
            <w:r w:rsidR="008B28B4">
              <w:rPr>
                <w:color w:val="212121"/>
              </w:rPr>
              <w:t xml:space="preserve"> (second read)</w:t>
            </w:r>
          </w:p>
          <w:p w14:paraId="20AC3F05" w14:textId="77777777" w:rsidR="00EF53F1" w:rsidRPr="00EF53F1" w:rsidRDefault="00EF53F1" w:rsidP="009111AA">
            <w:pPr>
              <w:ind w:left="166"/>
              <w:rPr>
                <w:color w:val="212121"/>
                <w:sz w:val="6"/>
                <w:szCs w:val="6"/>
              </w:rPr>
            </w:pPr>
          </w:p>
          <w:p w14:paraId="099CB3D3" w14:textId="0DE02056" w:rsidR="00233A22" w:rsidRDefault="00233A22" w:rsidP="009111AA">
            <w:pPr>
              <w:ind w:left="166"/>
              <w:rPr>
                <w:color w:val="212121"/>
              </w:rPr>
            </w:pPr>
            <w:r w:rsidRPr="00233A22">
              <w:rPr>
                <w:color w:val="212121"/>
              </w:rPr>
              <w:t>ISP 391 Credit for Variable Credit Classes (formerly Variable Credit)</w:t>
            </w:r>
            <w:r w:rsidR="008B28B4">
              <w:rPr>
                <w:color w:val="212121"/>
              </w:rPr>
              <w:t xml:space="preserve"> (second read)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8B561F" w14:paraId="788E17AB" w14:textId="77777777" w:rsidTr="00373D51">
        <w:trPr>
          <w:trHeight w:val="586"/>
        </w:trPr>
        <w:tc>
          <w:tcPr>
            <w:tcW w:w="1122" w:type="pct"/>
            <w:gridSpan w:val="3"/>
          </w:tcPr>
          <w:p w14:paraId="1D2B1540" w14:textId="15FC1E45" w:rsidR="008B561F" w:rsidRDefault="005A5C7B" w:rsidP="00CA2171">
            <w:pPr>
              <w:ind w:left="161"/>
              <w:rPr>
                <w:b/>
              </w:rPr>
            </w:pPr>
            <w:r>
              <w:rPr>
                <w:b/>
              </w:rPr>
              <w:t>New</w:t>
            </w:r>
            <w:r w:rsidRPr="00921B2B">
              <w:rPr>
                <w:b/>
              </w:rPr>
              <w:t xml:space="preserve"> Items</w:t>
            </w:r>
          </w:p>
        </w:tc>
        <w:tc>
          <w:tcPr>
            <w:tcW w:w="802" w:type="pct"/>
          </w:tcPr>
          <w:p w14:paraId="18DAF22C" w14:textId="0239F799" w:rsidR="005A5C7B" w:rsidRPr="00DD7F3B" w:rsidRDefault="00CD1F74" w:rsidP="005A5C7B">
            <w:pPr>
              <w:ind w:left="163"/>
            </w:pPr>
            <w:r>
              <w:t>S</w:t>
            </w:r>
            <w:r w:rsidR="00213A68">
              <w:t>arah</w:t>
            </w:r>
          </w:p>
        </w:tc>
        <w:tc>
          <w:tcPr>
            <w:tcW w:w="351" w:type="pct"/>
          </w:tcPr>
          <w:p w14:paraId="2289451F" w14:textId="3A26AD36" w:rsidR="00281C75" w:rsidRPr="00281C75" w:rsidRDefault="00213A68" w:rsidP="00CA2171">
            <w:r>
              <w:t>10</w:t>
            </w:r>
            <w:r w:rsidR="00CD1F74">
              <w:t xml:space="preserve"> min</w:t>
            </w:r>
          </w:p>
        </w:tc>
        <w:tc>
          <w:tcPr>
            <w:tcW w:w="2725" w:type="pct"/>
            <w:gridSpan w:val="3"/>
          </w:tcPr>
          <w:p w14:paraId="072D8684" w14:textId="54CF4A1E" w:rsidR="00373D51" w:rsidRPr="00DD7F3B" w:rsidRDefault="0048462A" w:rsidP="00373D51">
            <w:pPr>
              <w:ind w:left="166"/>
            </w:pPr>
            <w:r>
              <w:t xml:space="preserve">College Level Examination Program (CLEP) </w:t>
            </w:r>
          </w:p>
        </w:tc>
      </w:tr>
      <w:tr w:rsidR="00EB5264" w14:paraId="7D104C75" w14:textId="77777777" w:rsidTr="00450192">
        <w:trPr>
          <w:trHeight w:val="3943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6A81EA14" w14:textId="77777777" w:rsidR="00281C75" w:rsidRPr="00281C75" w:rsidRDefault="00281C75" w:rsidP="00921B2B">
            <w:pPr>
              <w:ind w:left="163"/>
              <w:rPr>
                <w:sz w:val="6"/>
                <w:szCs w:val="6"/>
              </w:rPr>
            </w:pPr>
          </w:p>
          <w:p w14:paraId="21D64850" w14:textId="34A0F40A" w:rsidR="003F233A" w:rsidRDefault="003F233A" w:rsidP="00921B2B">
            <w:pPr>
              <w:ind w:left="163"/>
            </w:pPr>
            <w:r>
              <w:t>Sharron</w:t>
            </w:r>
          </w:p>
          <w:p w14:paraId="1DBEE858" w14:textId="77777777" w:rsidR="003F233A" w:rsidRPr="003F233A" w:rsidRDefault="003F233A" w:rsidP="00921B2B">
            <w:pPr>
              <w:ind w:left="163"/>
              <w:rPr>
                <w:sz w:val="6"/>
                <w:szCs w:val="6"/>
              </w:rPr>
            </w:pPr>
          </w:p>
          <w:p w14:paraId="4DC01CA2" w14:textId="0C674895" w:rsidR="00281C75" w:rsidRDefault="00281C75" w:rsidP="00921B2B">
            <w:pPr>
              <w:ind w:left="163"/>
            </w:pPr>
            <w:r>
              <w:t>Sue</w:t>
            </w:r>
          </w:p>
          <w:p w14:paraId="7CD77CCC" w14:textId="0F5B4B93" w:rsidR="00312147" w:rsidRPr="00312147" w:rsidRDefault="00312147" w:rsidP="00921B2B">
            <w:pPr>
              <w:ind w:left="163"/>
              <w:rPr>
                <w:sz w:val="6"/>
                <w:szCs w:val="6"/>
              </w:rPr>
            </w:pPr>
          </w:p>
          <w:p w14:paraId="405B231E" w14:textId="5B1BB256" w:rsidR="00213A68" w:rsidRDefault="00213A68" w:rsidP="00921B2B">
            <w:pPr>
              <w:ind w:left="163"/>
            </w:pPr>
            <w:r>
              <w:t>Chris</w:t>
            </w:r>
          </w:p>
          <w:p w14:paraId="7633DB84" w14:textId="77777777" w:rsidR="00312147" w:rsidRPr="00312147" w:rsidRDefault="00312147" w:rsidP="00921B2B">
            <w:pPr>
              <w:ind w:left="163"/>
              <w:rPr>
                <w:sz w:val="6"/>
                <w:szCs w:val="6"/>
              </w:rPr>
            </w:pPr>
          </w:p>
          <w:p w14:paraId="10D11CF1" w14:textId="6EEEEB92" w:rsidR="00213A68" w:rsidRPr="00281C75" w:rsidRDefault="00213A68" w:rsidP="00921B2B">
            <w:pPr>
              <w:ind w:left="163"/>
            </w:pPr>
            <w:r>
              <w:t xml:space="preserve">Sue </w:t>
            </w:r>
          </w:p>
        </w:tc>
        <w:tc>
          <w:tcPr>
            <w:tcW w:w="351" w:type="pct"/>
          </w:tcPr>
          <w:p w14:paraId="2EA40A2C" w14:textId="0262C084" w:rsidR="003F233A" w:rsidRDefault="00F54F0D" w:rsidP="00281C75">
            <w:r>
              <w:t>1</w:t>
            </w:r>
            <w:r w:rsidR="00213A68">
              <w:t>5</w:t>
            </w:r>
            <w:r>
              <w:t xml:space="preserve"> min</w:t>
            </w:r>
          </w:p>
          <w:p w14:paraId="12F33B6D" w14:textId="77777777" w:rsidR="003F233A" w:rsidRPr="003F233A" w:rsidRDefault="003F233A" w:rsidP="00281C75">
            <w:pPr>
              <w:rPr>
                <w:sz w:val="6"/>
                <w:szCs w:val="6"/>
              </w:rPr>
            </w:pPr>
          </w:p>
          <w:p w14:paraId="255EB462" w14:textId="5043B353" w:rsidR="00281C75" w:rsidRDefault="003F233A" w:rsidP="00281C75">
            <w:r>
              <w:t>1</w:t>
            </w:r>
            <w:r w:rsidR="00213A68">
              <w:t>0</w:t>
            </w:r>
            <w:r>
              <w:t xml:space="preserve"> min</w:t>
            </w:r>
            <w:r w:rsidR="00281C75">
              <w:t xml:space="preserve"> </w:t>
            </w:r>
          </w:p>
          <w:p w14:paraId="73E50A44" w14:textId="77777777" w:rsidR="00281C75" w:rsidRPr="00281C75" w:rsidRDefault="00281C75" w:rsidP="00281C75">
            <w:pPr>
              <w:rPr>
                <w:sz w:val="6"/>
                <w:szCs w:val="6"/>
              </w:rPr>
            </w:pPr>
          </w:p>
          <w:p w14:paraId="6FD6DE2B" w14:textId="3B06C4ED" w:rsidR="00F54F0D" w:rsidRDefault="00213A68" w:rsidP="00281C75">
            <w:r>
              <w:t>10</w:t>
            </w:r>
            <w:r w:rsidR="00281C75">
              <w:t xml:space="preserve"> min</w:t>
            </w:r>
          </w:p>
          <w:p w14:paraId="0DBD92D7" w14:textId="77777777" w:rsidR="00312147" w:rsidRPr="00312147" w:rsidRDefault="00312147" w:rsidP="00281C75">
            <w:pPr>
              <w:rPr>
                <w:sz w:val="6"/>
                <w:szCs w:val="6"/>
              </w:rPr>
            </w:pPr>
          </w:p>
          <w:p w14:paraId="415005CB" w14:textId="2855FAF5" w:rsidR="00213A68" w:rsidRPr="00260D85" w:rsidRDefault="00213A68" w:rsidP="00281C75">
            <w:r>
              <w:t>10 min</w:t>
            </w:r>
          </w:p>
        </w:tc>
        <w:tc>
          <w:tcPr>
            <w:tcW w:w="2725" w:type="pct"/>
            <w:gridSpan w:val="3"/>
          </w:tcPr>
          <w:p w14:paraId="7280875F" w14:textId="4369773F" w:rsidR="00213A68" w:rsidRDefault="00213A68" w:rsidP="00213A68">
            <w:pPr>
              <w:ind w:left="166"/>
            </w:pPr>
            <w:r>
              <w:t xml:space="preserve">ISP 160/ISP </w:t>
            </w:r>
            <w:proofErr w:type="spellStart"/>
            <w:r>
              <w:t>160</w:t>
            </w:r>
            <w:r w:rsidR="007A35B3">
              <w:t>A</w:t>
            </w:r>
            <w:proofErr w:type="spellEnd"/>
            <w:r>
              <w:t xml:space="preserve"> Report Back/Check In</w:t>
            </w:r>
          </w:p>
          <w:p w14:paraId="732C2BE1" w14:textId="77777777" w:rsidR="00312147" w:rsidRPr="00312147" w:rsidRDefault="00312147" w:rsidP="00213A68">
            <w:pPr>
              <w:ind w:left="166"/>
              <w:rPr>
                <w:sz w:val="6"/>
                <w:szCs w:val="6"/>
              </w:rPr>
            </w:pPr>
          </w:p>
          <w:p w14:paraId="03927D55" w14:textId="009C3AB2" w:rsidR="00213A68" w:rsidRDefault="00312147" w:rsidP="00281C75">
            <w:pPr>
              <w:ind w:left="166"/>
            </w:pPr>
            <w:r>
              <w:t>ISP 190 Academic Honesty</w:t>
            </w:r>
          </w:p>
          <w:p w14:paraId="04847E22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53173AC9" w14:textId="69E78C0F" w:rsidR="00281C75" w:rsidRDefault="00CD1F74" w:rsidP="00281C75">
            <w:pPr>
              <w:ind w:left="166"/>
            </w:pPr>
            <w:r w:rsidRPr="00CD1F74">
              <w:t xml:space="preserve">ISP 480 Academic Standing </w:t>
            </w:r>
          </w:p>
          <w:p w14:paraId="72F4F924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4A90C754" w14:textId="3F6F79E4" w:rsidR="00281C75" w:rsidRDefault="00281C75" w:rsidP="00281C75">
            <w:pPr>
              <w:ind w:left="166"/>
            </w:pPr>
            <w:r>
              <w:t>Mid-Year Check in on Goals</w:t>
            </w:r>
          </w:p>
          <w:p w14:paraId="10580B76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Finish the current work in process as well as the standards listed on the five-year review cycle.  </w:t>
            </w:r>
          </w:p>
          <w:p w14:paraId="1CBC7640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Continue to review our norms and use the DEI Framework as we review our standards.  </w:t>
            </w:r>
          </w:p>
          <w:p w14:paraId="05113A90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 xml:space="preserve">Keep the ISP/ARC website up to date.  </w:t>
            </w:r>
          </w:p>
          <w:p w14:paraId="01005A77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>Ask Marketing to provide use how many visit our ISP/ARC website.</w:t>
            </w:r>
          </w:p>
          <w:p w14:paraId="6B790C51" w14:textId="77777777" w:rsidR="00450192" w:rsidRDefault="00450192" w:rsidP="00450192">
            <w:pPr>
              <w:pStyle w:val="ListParagraph"/>
              <w:numPr>
                <w:ilvl w:val="0"/>
                <w:numId w:val="37"/>
              </w:numPr>
            </w:pPr>
            <w:r>
              <w:t>Notify faculty at the beginning of each term of important ISP/ARC standards/procedures and updates to our policies via email. (Just-in-Time/Calendaring)</w:t>
            </w:r>
          </w:p>
          <w:p w14:paraId="6A8DE786" w14:textId="77777777" w:rsidR="00450192" w:rsidRDefault="00450192" w:rsidP="00450192"/>
          <w:p w14:paraId="7CD7C793" w14:textId="47037435" w:rsidR="00450192" w:rsidRPr="00FC0B73" w:rsidRDefault="00450192" w:rsidP="00450192"/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762B2C3" w14:textId="605EAE66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03055F" w14:textId="2D4A773B" w:rsidR="00D36B80" w:rsidRDefault="00D36B80" w:rsidP="00D36B80">
            <w:r>
              <w:t>Review policy and address the concerns of the Curriculum Committee.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BF1F7C2" w14:textId="32D0B794" w:rsidR="00D36B80" w:rsidRDefault="00312147" w:rsidP="00D36B80">
            <w:r>
              <w:t>February 25 W</w:t>
            </w:r>
            <w:r w:rsidR="00D36B80">
              <w:t>inter</w:t>
            </w:r>
            <w:r>
              <w:t>/</w:t>
            </w:r>
            <w:r w:rsidR="00D36B80">
              <w:t xml:space="preserve"> Spring Term</w:t>
            </w:r>
          </w:p>
        </w:tc>
      </w:tr>
      <w:tr w:rsidR="00D36B80" w14:paraId="7AC6D0C2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CD9C305" w14:textId="35DA1A91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 Academic Honesty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1B420E" w14:textId="799E135C" w:rsidR="00D36B80" w:rsidRPr="009A0E5A" w:rsidRDefault="00D36B80" w:rsidP="00D36B80">
            <w:pPr>
              <w:jc w:val="center"/>
            </w:pPr>
            <w:r w:rsidRPr="009A0E5A">
              <w:t>Sue</w:t>
            </w:r>
            <w:r w:rsidR="008B28B4">
              <w:t>/Sharon/Russ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00B9981D" w:rsidR="00D36B80" w:rsidRPr="00D26A4F" w:rsidRDefault="008B28B4" w:rsidP="00D36B80">
            <w:r>
              <w:t xml:space="preserve">Using </w:t>
            </w:r>
            <w:r w:rsidR="00281C75">
              <w:t xml:space="preserve">the </w:t>
            </w:r>
            <w:r>
              <w:t xml:space="preserve">suggestions from Presidents’ Council, language will be recrafted and procedure language will be pulled out to create a separate procedure.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4CEC0CA" w14:textId="232FAA6D" w:rsidR="00D36B80" w:rsidRDefault="0048462A" w:rsidP="00D36B80">
            <w:r>
              <w:t>Spring Term</w:t>
            </w:r>
          </w:p>
        </w:tc>
      </w:tr>
      <w:tr w:rsidR="00D36B80" w14:paraId="3706967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1B15227" w14:textId="7F026484" w:rsidR="00D36B80" w:rsidRPr="009A0E5A" w:rsidRDefault="00D36B80" w:rsidP="00D36B80">
            <w:pPr>
              <w:jc w:val="center"/>
            </w:pPr>
            <w:r w:rsidRPr="009A0E5A">
              <w:t>Jen/Patty/Cathy/Berri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AA98179" w14:textId="2E6E8691" w:rsidR="00D36B80" w:rsidRDefault="008B28B4" w:rsidP="00D36B80">
            <w:r>
              <w:t>Policy is ready for College Council first read on March 18.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42326216" w:rsidR="00D36B80" w:rsidRPr="00DD7F3B" w:rsidRDefault="008B28B4" w:rsidP="00D36B80">
            <w:r>
              <w:t>April 8</w:t>
            </w:r>
          </w:p>
        </w:tc>
      </w:tr>
      <w:tr w:rsidR="00D36B80" w14:paraId="62077A2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D013AAC" w14:textId="0BFD21EB" w:rsidR="00D36B80" w:rsidRPr="00524E7E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391 Credit for Variable Credit Classes (formerly Variable Credit)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334B65F" w14:textId="03571321" w:rsidR="00D36B80" w:rsidRPr="009A0E5A" w:rsidRDefault="00D36B80" w:rsidP="00D36B80">
            <w:pPr>
              <w:jc w:val="center"/>
            </w:pPr>
            <w:r w:rsidRPr="009A0E5A">
              <w:t>Chris/Sarah/Sharron/Lars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84524D7" w14:textId="236310F3" w:rsidR="00D36B80" w:rsidRDefault="008B28B4" w:rsidP="00D36B80">
            <w:r>
              <w:t>Was brought forward to College Council for the second read on February 18.</w:t>
            </w:r>
            <w:r w:rsidR="00D36B80" w:rsidRPr="004A23CB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A32D23" w14:textId="573408D4" w:rsidR="00D36B80" w:rsidRPr="00260D85" w:rsidRDefault="008B28B4" w:rsidP="00D36B80">
            <w:r>
              <w:t>February 25</w:t>
            </w:r>
          </w:p>
        </w:tc>
      </w:tr>
      <w:tr w:rsidR="00D36B80" w14:paraId="099D8EF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D835205" w14:textId="64871E1E" w:rsidR="00D36B80" w:rsidRPr="00254B41" w:rsidRDefault="00D36B80" w:rsidP="00D36B80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1EE83E0" w14:textId="790233C5" w:rsidR="00D36B80" w:rsidRPr="00254B41" w:rsidRDefault="00D36B80" w:rsidP="00D36B80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D36B80" w:rsidRDefault="00D36B80" w:rsidP="00D36B80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3490A2" w14:textId="1856C2D4" w:rsidR="00D36B80" w:rsidRPr="00DD7F3B" w:rsidRDefault="00D36B80" w:rsidP="00D36B80">
            <w:r w:rsidRPr="00260D85">
              <w:t>Spring Term</w:t>
            </w:r>
          </w:p>
        </w:tc>
      </w:tr>
      <w:tr w:rsidR="00D36B80" w14:paraId="25EED3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351FBBE" w14:textId="02F64B04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471 &amp; ISP 471A Courses Repeated for Additional Credit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B339BCB" w14:textId="0E8257B1" w:rsidR="00D36B80" w:rsidRPr="009A0E5A" w:rsidRDefault="00D36B80" w:rsidP="00D36B80">
            <w:pPr>
              <w:jc w:val="center"/>
            </w:pPr>
            <w:r w:rsidRPr="009A0E5A">
              <w:t>Dru/Sarah/Leslie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5EC6036" w14:textId="23AEC783" w:rsidR="00D36B80" w:rsidRDefault="008B28B4" w:rsidP="00D36B80">
            <w:r w:rsidRPr="008B28B4">
              <w:t xml:space="preserve">Was brought forward to College Council for the second read on February 18.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33CA90" w14:textId="4A29EAAF" w:rsidR="00D36B80" w:rsidRPr="00DD7F3B" w:rsidRDefault="008B28B4" w:rsidP="00D36B80">
            <w:r>
              <w:t>February 25</w:t>
            </w:r>
          </w:p>
        </w:tc>
      </w:tr>
      <w:tr w:rsidR="00D36B80" w14:paraId="0FBB605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A790512" w14:textId="6880AD7E" w:rsidR="00D36B80" w:rsidRDefault="00D36B80" w:rsidP="00D36B80">
            <w:pPr>
              <w:jc w:val="center"/>
            </w:pPr>
            <w:r>
              <w:t>Chris/Dustin Bare/Tracey/Jackie/Josiah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4160EA66" w:rsidR="00D36B80" w:rsidRDefault="008B28B4" w:rsidP="00D36B80">
            <w:r>
              <w:t>Ready to present at next ISP committee meeting.</w:t>
            </w:r>
            <w:r w:rsidR="00D36B80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64428323" w:rsidR="00D36B80" w:rsidRPr="00921B2B" w:rsidRDefault="00D36B80" w:rsidP="00D36B80">
            <w:r>
              <w:t>February 25</w:t>
            </w:r>
          </w:p>
        </w:tc>
      </w:tr>
      <w:tr w:rsidR="00A03FB6" w14:paraId="3EF65D3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6D07A56" w14:textId="4443E348" w:rsidR="00A03FB6" w:rsidRDefault="00A03FB6" w:rsidP="00D36B80">
            <w:pPr>
              <w:rPr>
                <w:noProof/>
              </w:rPr>
            </w:pPr>
            <w:r>
              <w:rPr>
                <w:noProof/>
              </w:rPr>
              <w:t>Mid-Year Check In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6F2202B" w14:textId="55265B37" w:rsidR="00A03FB6" w:rsidRDefault="00A03FB6" w:rsidP="00D36B80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C8CCD0" w14:textId="03BEBE5D" w:rsidR="00A03FB6" w:rsidRDefault="00A03FB6" w:rsidP="00D36B80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66346E" w14:textId="093E6E70" w:rsidR="00A03FB6" w:rsidRPr="00921B2B" w:rsidRDefault="00281C75" w:rsidP="00D36B80">
            <w:r>
              <w:t>February 25</w:t>
            </w:r>
          </w:p>
        </w:tc>
      </w:tr>
      <w:tr w:rsidR="00D36B80" w14:paraId="4B4FFEE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CD70E41" w14:textId="5A123D4A" w:rsidR="00D36B80" w:rsidRDefault="00A03FB6" w:rsidP="00D36B80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14A8BAA" w14:textId="1AAD5AB9" w:rsidR="00D36B80" w:rsidRPr="009A0E5A" w:rsidRDefault="00A03FB6" w:rsidP="00D36B80">
            <w:pPr>
              <w:jc w:val="center"/>
            </w:pPr>
            <w:r w:rsidRPr="009A0E5A">
              <w:t>Chris/Sarah/Jackie/Jen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3DCA724" w14:textId="4324F92F" w:rsidR="00D36B80" w:rsidRDefault="00A03FB6" w:rsidP="00D36B80">
            <w:r>
              <w:t>Create a new ISP for the college</w:t>
            </w:r>
            <w:r w:rsidR="009A0E5A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304D443" w14:textId="449050D1" w:rsidR="00D36B80" w:rsidRPr="00921B2B" w:rsidRDefault="009A0E5A" w:rsidP="00D36B80">
            <w:r>
              <w:t xml:space="preserve">Spring </w:t>
            </w:r>
            <w:r w:rsidR="00A03FB6">
              <w:t>Term</w:t>
            </w:r>
          </w:p>
        </w:tc>
      </w:tr>
      <w:tr w:rsidR="00A03FB6" w14:paraId="51B47AA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9D6B707" w14:textId="6F2B5453" w:rsidR="00A03FB6" w:rsidRPr="00524E7E" w:rsidRDefault="00213A68" w:rsidP="00A03FB6">
            <w:pPr>
              <w:rPr>
                <w:noProof/>
              </w:rPr>
            </w:pPr>
            <w:r>
              <w:rPr>
                <w:noProof/>
              </w:rPr>
              <w:t>ISP 19</w:t>
            </w:r>
            <w:r w:rsidR="002634C7">
              <w:rPr>
                <w:noProof/>
              </w:rPr>
              <w:t>5</w:t>
            </w:r>
            <w:r>
              <w:rPr>
                <w:noProof/>
              </w:rPr>
              <w:t>/ISP 19</w:t>
            </w:r>
            <w:r w:rsidR="002634C7">
              <w:rPr>
                <w:noProof/>
              </w:rPr>
              <w:t>5</w:t>
            </w:r>
            <w:bookmarkStart w:id="0" w:name="_GoBack"/>
            <w:bookmarkEnd w:id="0"/>
            <w:r>
              <w:rPr>
                <w:noProof/>
              </w:rPr>
              <w:t xml:space="preserve">P </w:t>
            </w:r>
            <w:r w:rsidR="00A03FB6">
              <w:rPr>
                <w:noProof/>
              </w:rPr>
              <w:t>Study</w:t>
            </w:r>
            <w:r>
              <w:rPr>
                <w:noProof/>
              </w:rPr>
              <w:t xml:space="preserve">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387623" w14:textId="4686854F" w:rsidR="00A03FB6" w:rsidRDefault="00A03FB6" w:rsidP="00A03FB6">
            <w:pPr>
              <w:jc w:val="center"/>
            </w:pPr>
            <w:r>
              <w:t>Tory and 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A18FA74" w14:textId="285919AD" w:rsidR="00A03FB6" w:rsidRDefault="008B28B4" w:rsidP="00A03FB6">
            <w:r w:rsidRPr="008B28B4">
              <w:t>Policy is ready for College Council first read on March 18.</w:t>
            </w:r>
            <w:r w:rsidR="00A03FB6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B4CF088" w14:textId="1A8B1EF4" w:rsidR="00A03FB6" w:rsidRPr="00921B2B" w:rsidRDefault="008B28B4" w:rsidP="00A03FB6">
            <w:r>
              <w:t>April 8</w:t>
            </w:r>
          </w:p>
        </w:tc>
      </w:tr>
      <w:tr w:rsidR="00A03FB6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03FB6" w:rsidRPr="00A10502" w:rsidRDefault="00A03FB6" w:rsidP="00A03FB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03FB6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1F6B5160" w14:textId="7306CD82" w:rsidR="00A03FB6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March 11</w:t>
            </w:r>
          </w:p>
          <w:p w14:paraId="6B5FF5F9" w14:textId="77777777" w:rsidR="00A03FB6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A03FB6" w:rsidRPr="00417307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789" w:type="dxa"/>
            <w:vAlign w:val="center"/>
          </w:tcPr>
          <w:p w14:paraId="53F2F5D4" w14:textId="1B9F1B30" w:rsidR="00A03FB6" w:rsidRPr="001C14ED" w:rsidRDefault="00A03FB6" w:rsidP="00A03FB6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03FB6" w:rsidRPr="001C14ED" w:rsidRDefault="00A03FB6" w:rsidP="00A03FB6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03FB6" w:rsidRPr="001C14ED" w:rsidRDefault="00A03FB6" w:rsidP="00A03FB6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7CCCF640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 xml:space="preserve">ISP 471 Courses Repeated for </w:t>
      </w:r>
      <w:r w:rsidR="00254B41">
        <w:t>Additional Credit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21CDC6B2" w:rsidR="00E2557C" w:rsidRPr="00E2557C" w:rsidRDefault="00EA3A47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February </w:t>
        </w:r>
        <w:r w:rsidR="0048462A">
          <w:rPr>
            <w:rFonts w:cs="Arial"/>
            <w:sz w:val="20"/>
            <w:szCs w:val="20"/>
          </w:rPr>
          <w:t>25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5"/>
  </w:num>
  <w:num w:numId="8">
    <w:abstractNumId w:val="22"/>
  </w:num>
  <w:num w:numId="9">
    <w:abstractNumId w:val="27"/>
  </w:num>
  <w:num w:numId="10">
    <w:abstractNumId w:val="35"/>
  </w:num>
  <w:num w:numId="11">
    <w:abstractNumId w:val="12"/>
  </w:num>
  <w:num w:numId="12">
    <w:abstractNumId w:val="1"/>
  </w:num>
  <w:num w:numId="13">
    <w:abstractNumId w:val="34"/>
  </w:num>
  <w:num w:numId="14">
    <w:abstractNumId w:val="3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3"/>
  </w:num>
  <w:num w:numId="22">
    <w:abstractNumId w:val="29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6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3D51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7392"/>
    <w:rsid w:val="004A03DF"/>
    <w:rsid w:val="004A1445"/>
    <w:rsid w:val="004A23CB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25E3"/>
    <w:rsid w:val="004E405B"/>
    <w:rsid w:val="004E445E"/>
    <w:rsid w:val="004E4D47"/>
    <w:rsid w:val="004E6BF6"/>
    <w:rsid w:val="004E7C95"/>
    <w:rsid w:val="004F3FB9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3FB6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93E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1F74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B24B-F365-40C8-93FD-1E507585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8</cp:revision>
  <cp:lastPrinted>2021-06-03T16:17:00Z</cp:lastPrinted>
  <dcterms:created xsi:type="dcterms:W3CDTF">2022-02-23T20:59:00Z</dcterms:created>
  <dcterms:modified xsi:type="dcterms:W3CDTF">2022-02-25T18:55:00Z</dcterms:modified>
</cp:coreProperties>
</file>